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Katowice, dnia 12 stycznia 2024 r.</w:t>
      </w:r>
    </w:p>
    <w:p>
      <w:pPr>
        <w:pStyle w:val="Normal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GL.ZUZ.2.4210.968.2023.AW</w:t>
      </w:r>
    </w:p>
    <w:p>
      <w:pPr>
        <w:pStyle w:val="Normal"/>
        <w:spacing w:lineRule="auto" w:line="240" w:before="0" w:after="0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ZAWIADOMIENIE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o wszczęciu postępowania administracyjnego</w:t>
      </w:r>
    </w:p>
    <w:p>
      <w:pPr>
        <w:pStyle w:val="Normal"/>
        <w:spacing w:lineRule="auto" w:line="240" w:before="0" w:after="0"/>
        <w:rPr>
          <w:b/>
          <w:b/>
          <w:bCs/>
          <w:sz w:val="12"/>
          <w:szCs w:val="12"/>
          <w:highlight w:val="yellow"/>
          <w:lang w:eastAsia="pl-PL"/>
        </w:rPr>
      </w:pPr>
      <w:r>
        <w:rPr>
          <w:b/>
          <w:bCs/>
          <w:sz w:val="12"/>
          <w:szCs w:val="12"/>
          <w:highlight w:val="yellow"/>
          <w:lang w:eastAsia="pl-PL"/>
        </w:rPr>
      </w:r>
    </w:p>
    <w:p>
      <w:pPr>
        <w:pStyle w:val="Normal"/>
        <w:spacing w:lineRule="auto" w:line="240" w:before="0" w:after="0"/>
        <w:rPr>
          <w:b/>
          <w:b/>
          <w:bCs/>
          <w:sz w:val="12"/>
          <w:szCs w:val="12"/>
          <w:highlight w:val="yellow"/>
          <w:lang w:eastAsia="pl-PL"/>
        </w:rPr>
      </w:pPr>
      <w:r>
        <w:rPr>
          <w:b/>
          <w:bCs/>
          <w:sz w:val="12"/>
          <w:szCs w:val="12"/>
          <w:highlight w:val="yellow"/>
          <w:lang w:eastAsia="pl-PL"/>
        </w:rPr>
      </w:r>
    </w:p>
    <w:p>
      <w:pPr>
        <w:pStyle w:val="Normal"/>
        <w:widowControl w:val="false"/>
        <w:tabs>
          <w:tab w:val="left" w:pos="284" w:leader="none"/>
        </w:tabs>
        <w:suppressAutoHyphens w:val="true"/>
        <w:spacing w:lineRule="auto" w:line="240" w:before="0" w:after="0"/>
        <w:contextualSpacing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  <w:tab/>
        <w:t xml:space="preserve">Na podstawie art. 61 </w:t>
      </w:r>
      <w:r>
        <w:rPr>
          <w:rFonts w:cs="Calibri"/>
          <w:sz w:val="22"/>
          <w:szCs w:val="22"/>
          <w:lang w:eastAsia="pl-PL"/>
        </w:rPr>
        <w:t>§1 i §4</w:t>
      </w:r>
      <w:r>
        <w:rPr>
          <w:sz w:val="22"/>
          <w:szCs w:val="22"/>
          <w:lang w:eastAsia="pl-PL"/>
        </w:rPr>
        <w:t xml:space="preserve"> ustawy z dnia 14 czerwca 1960 r. </w:t>
      </w:r>
      <w:r>
        <w:rPr>
          <w:i/>
          <w:sz w:val="22"/>
          <w:szCs w:val="22"/>
          <w:lang w:eastAsia="pl-PL"/>
        </w:rPr>
        <w:t>Kodeks postępowania administracyjnego</w:t>
      </w:r>
      <w:r>
        <w:rPr>
          <w:sz w:val="22"/>
          <w:szCs w:val="22"/>
          <w:lang w:eastAsia="pl-PL"/>
        </w:rPr>
        <w:t xml:space="preserve"> (tekst jednolity Dz. U. z 2023 r. poz. 775 ze zmianami) w związku z art. </w:t>
      </w:r>
      <w:r>
        <w:rPr>
          <w:rFonts w:eastAsia="SimSun" w:cs="Mangal"/>
          <w:kern w:val="2"/>
          <w:sz w:val="22"/>
          <w:szCs w:val="22"/>
          <w:lang w:eastAsia="zh-CN" w:bidi="hi-IN"/>
        </w:rPr>
        <w:t xml:space="preserve">14 ust. 2, </w:t>
        <w:br/>
        <w:t>art. 35 ust. 3 pkt 7, art. 397 ust. 3 pkt 2 lit. a</w:t>
      </w:r>
      <w:r>
        <w:rPr>
          <w:sz w:val="22"/>
          <w:szCs w:val="22"/>
          <w:lang w:eastAsia="pl-PL"/>
        </w:rPr>
        <w:t xml:space="preserve">, art. 389 pkt 1 oraz art. 400 ust. 7 ustawy z dnia 20 lipca </w:t>
        <w:br/>
        <w:t xml:space="preserve">2017 r. </w:t>
      </w:r>
      <w:r>
        <w:rPr>
          <w:i/>
          <w:sz w:val="22"/>
          <w:szCs w:val="22"/>
          <w:lang w:eastAsia="pl-PL"/>
        </w:rPr>
        <w:t>Prawo wodne</w:t>
      </w:r>
      <w:r>
        <w:rPr>
          <w:sz w:val="22"/>
          <w:szCs w:val="22"/>
          <w:lang w:eastAsia="pl-PL"/>
        </w:rPr>
        <w:t xml:space="preserve"> (tekst jednolity Dz. U. z 2023 r. poz. 1478 ze zmianami), </w:t>
      </w:r>
      <w:bookmarkStart w:id="0" w:name="__DdeLink__122_3691451631"/>
      <w:bookmarkEnd w:id="0"/>
      <w:r>
        <w:rPr>
          <w:sz w:val="22"/>
          <w:szCs w:val="22"/>
          <w:lang w:eastAsia="pl-PL"/>
        </w:rPr>
        <w:t xml:space="preserve">Dyrektor Zarządu Zlewni </w:t>
        <w:br/>
        <w:t xml:space="preserve">w Katowicach zawiadamia, że na wniosek Gminy Miasta Mysłowice, ul. Powstańców 1, 41-400 Mysłowice, wszczęte zostało postępowanie administracyjne o udzielenie pozwolenia wodnoprawnego na korzystanie z wód w ramach usługi wodnej obejmującej odprowadzanie do wód powierzchniowych płynących rzeki Przemsza, wód opadowych lub roztopowych ujętych w system kanalizacji deszczowej, pochodzących </w:t>
        <w:br/>
        <w:t xml:space="preserve">z terenu zabudowy jednorodzinnej przy ul. Długiej i ul. Wincentego Witosa w Mysłowicach, </w:t>
        <w:br/>
        <w:t xml:space="preserve">za pośrednictwem istniejącego wylotu kanalizacji deszczowej zlokalizowanego w obrębie działek </w:t>
        <w:br/>
        <w:t xml:space="preserve">o numerach ewidencyjnych 634/21 i 1468/21 obręb Dziećkowice, gmina Mysłowice, woj. śląskie. </w:t>
      </w:r>
    </w:p>
    <w:p>
      <w:pPr>
        <w:pStyle w:val="Normal"/>
        <w:widowControl w:val="false"/>
        <w:tabs>
          <w:tab w:val="left" w:pos="284" w:leader="none"/>
        </w:tabs>
        <w:suppressAutoHyphens w:val="true"/>
        <w:spacing w:lineRule="auto" w:line="240" w:before="0" w:after="0"/>
        <w:contextualSpacing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widowControl w:val="false"/>
        <w:tabs>
          <w:tab w:val="left" w:pos="284" w:leader="none"/>
        </w:tabs>
        <w:suppressAutoHyphens w:val="true"/>
        <w:spacing w:lineRule="auto" w:line="240" w:before="0" w:after="0"/>
        <w:contextualSpacing/>
        <w:rPr>
          <w:sz w:val="12"/>
          <w:szCs w:val="12"/>
          <w:lang w:eastAsia="pl-PL"/>
        </w:rPr>
      </w:pPr>
      <w:r>
        <w:rPr>
          <w:sz w:val="12"/>
          <w:szCs w:val="12"/>
          <w:lang w:eastAsia="pl-PL"/>
        </w:rPr>
      </w:r>
    </w:p>
    <w:p>
      <w:pPr>
        <w:pStyle w:val="ListParagraph"/>
        <w:widowControl w:val="false"/>
        <w:tabs>
          <w:tab w:val="left" w:pos="284" w:leader="none"/>
        </w:tabs>
        <w:suppressAutoHyphens w:val="true"/>
        <w:spacing w:lineRule="auto" w:line="240" w:before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 xml:space="preserve">Zgodnie z art. 10 § 1 ustawy z dnia 14 czerwca 1960 r. </w:t>
      </w:r>
      <w:r>
        <w:rPr>
          <w:i/>
          <w:sz w:val="22"/>
          <w:szCs w:val="22"/>
        </w:rPr>
        <w:t>Kodeks postępowania administracyjnego</w:t>
      </w:r>
      <w:r>
        <w:rPr>
          <w:rFonts w:cs="Vrinda"/>
          <w:sz w:val="22"/>
          <w:szCs w:val="22"/>
        </w:rPr>
        <w:t xml:space="preserve"> informuję, że organy administracji publicznej obowiązane są zapewnić stronom czynny udział w każdym stadium postępowania, a przed wydaniem decyzji umożliwić im wypowiedzenie się co do zebranych dowodów i materiałów oraz zgłoszonych żądań</w:t>
      </w:r>
      <w:r>
        <w:rPr>
          <w:sz w:val="22"/>
          <w:szCs w:val="22"/>
        </w:rPr>
        <w:t>.</w:t>
      </w:r>
    </w:p>
    <w:p>
      <w:pPr>
        <w:pStyle w:val="Normal"/>
        <w:spacing w:lineRule="auto" w:line="240" w:before="0" w:after="0"/>
        <w:ind w:firstLine="567"/>
        <w:rPr>
          <w:sz w:val="14"/>
          <w:szCs w:val="14"/>
          <w:lang w:eastAsia="pl-PL"/>
        </w:rPr>
      </w:pPr>
      <w:r>
        <w:rPr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ind w:firstLine="709"/>
        <w:rPr>
          <w:sz w:val="22"/>
          <w:szCs w:val="22"/>
          <w:lang w:eastAsia="pl-PL"/>
        </w:rPr>
      </w:pPr>
      <w:r>
        <w:rPr>
          <w:rFonts w:cs="Vrinda"/>
          <w:sz w:val="22"/>
          <w:szCs w:val="22"/>
        </w:rPr>
        <w:t xml:space="preserve">Wobec powyższego </w:t>
      </w:r>
      <w:r>
        <w:rPr>
          <w:sz w:val="22"/>
          <w:szCs w:val="22"/>
        </w:rPr>
        <w:t xml:space="preserve">informuję o możliwości zapoznania się z wnioskiem i dokumentacją </w:t>
        <w:br/>
        <w:t xml:space="preserve">w sprawie oraz o możliwości złożenia ewentualnych uwag w terminie </w:t>
      </w:r>
      <w:r>
        <w:rPr>
          <w:b/>
          <w:bCs/>
          <w:sz w:val="22"/>
          <w:szCs w:val="22"/>
          <w:u w:val="single"/>
        </w:rPr>
        <w:t>7 dni</w:t>
      </w:r>
      <w:r>
        <w:rPr>
          <w:sz w:val="22"/>
          <w:szCs w:val="22"/>
        </w:rPr>
        <w:t xml:space="preserve"> od dnia otrzymania niniejszego zawiadomienia</w:t>
      </w:r>
      <w:r>
        <w:rPr>
          <w:sz w:val="22"/>
          <w:szCs w:val="22"/>
          <w:lang w:eastAsia="pl-PL"/>
        </w:rPr>
        <w:t>, po uprzednim telefonicznym uzgodnieniu terminu</w:t>
      </w:r>
      <w:r>
        <w:rPr>
          <w:sz w:val="22"/>
          <w:szCs w:val="22"/>
        </w:rPr>
        <w:t>.</w:t>
      </w:r>
      <w:r>
        <w:rPr>
          <w:sz w:val="22"/>
          <w:szCs w:val="22"/>
          <w:lang w:eastAsia="pl-PL"/>
        </w:rPr>
        <w:t xml:space="preserve"> Akta sprawy dostępne są w Zarządzie Zlewni w Katowicach przy Placu Grunwaldzkim 8-10, 40-127 Katowice, pok. nr 408. Dodatkowe informacje można uzyskać pod nr tel. 32 250 41 27 wew. 29.</w:t>
      </w:r>
    </w:p>
    <w:p>
      <w:pPr>
        <w:pStyle w:val="Normal"/>
        <w:spacing w:lineRule="auto" w:line="240" w:before="0" w:after="0"/>
        <w:ind w:firstLine="567"/>
        <w:rPr>
          <w:sz w:val="22"/>
          <w:szCs w:val="22"/>
          <w:highlight w:val="yellow"/>
          <w:lang w:eastAsia="pl-PL"/>
        </w:rPr>
      </w:pPr>
      <w:r>
        <w:rPr>
          <w:sz w:val="22"/>
          <w:szCs w:val="22"/>
          <w:highlight w:val="yellow"/>
          <w:lang w:eastAsia="pl-PL"/>
        </w:rPr>
      </w:r>
    </w:p>
    <w:p>
      <w:pPr>
        <w:pStyle w:val="Normal"/>
        <w:spacing w:lineRule="auto" w:line="240" w:before="0" w:after="0"/>
        <w:rPr>
          <w:bCs/>
          <w:highlight w:val="yellow"/>
          <w:lang w:eastAsia="pl-PL"/>
        </w:rPr>
      </w:pPr>
      <w:r>
        <w:rPr>
          <w:bCs/>
          <w:highlight w:val="yellow"/>
          <w:lang w:eastAsia="pl-PL"/>
        </w:rPr>
      </w:r>
    </w:p>
    <w:p>
      <w:pPr>
        <w:pStyle w:val="Normal"/>
        <w:spacing w:lineRule="auto" w:line="240" w:before="0" w:after="0"/>
        <w:jc w:val="left"/>
        <w:rPr>
          <w:bCs/>
          <w:sz w:val="28"/>
          <w:szCs w:val="28"/>
          <w:highlight w:val="yellow"/>
          <w:lang w:eastAsia="pl-PL"/>
        </w:rPr>
      </w:pPr>
      <w:r>
        <w:rPr>
          <w:bCs/>
          <w:sz w:val="28"/>
          <w:szCs w:val="28"/>
          <w:highlight w:val="yellow"/>
          <w:lang w:eastAsia="pl-PL"/>
        </w:rPr>
      </w:r>
    </w:p>
    <w:p>
      <w:pPr>
        <w:pStyle w:val="Normal"/>
        <w:spacing w:lineRule="auto" w:line="240" w:before="0" w:after="0"/>
        <w:jc w:val="left"/>
        <w:rPr>
          <w:bCs/>
          <w:highlight w:val="yellow"/>
          <w:lang w:eastAsia="pl-PL"/>
        </w:rPr>
      </w:pPr>
      <w:r>
        <w:rPr>
          <w:bCs/>
          <w:highlight w:val="yellow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Theme="minorHAnsi" w:hAnsiTheme="minorHAnsi"/>
          <w:b/>
          <w:b/>
          <w:bCs/>
          <w:lang w:eastAsia="pl-PL"/>
          <w14:ligatures w14:val="standardContextual"/>
        </w:rPr>
      </w:pPr>
      <w:r>
        <w:rPr>
          <w:rFonts w:asciiTheme="minorHAnsi" w:hAnsiTheme="minorHAnsi"/>
          <w:b/>
          <w:bCs/>
          <w:lang w:eastAsia="pl-PL"/>
          <w14:ligatures w14:val="standardContextual"/>
        </w:rPr>
        <w:t xml:space="preserve">DYREKTOR </w:t>
      </w:r>
    </w:p>
    <w:p>
      <w:pPr>
        <w:pStyle w:val="Normal"/>
        <w:spacing w:lineRule="auto" w:line="240" w:before="0" w:after="0"/>
        <w:jc w:val="right"/>
        <w:rPr>
          <w:rFonts w:asciiTheme="minorHAnsi" w:hAnsiTheme="minorHAnsi"/>
          <w:b/>
          <w:b/>
          <w:bCs/>
          <w:lang w:eastAsia="pl-PL"/>
          <w14:ligatures w14:val="standardContextual"/>
        </w:rPr>
      </w:pPr>
      <w:r>
        <w:rPr>
          <w:rFonts w:asciiTheme="minorHAnsi" w:hAnsiTheme="minorHAnsi"/>
          <w:b/>
          <w:bCs/>
          <w:lang w:eastAsia="pl-PL"/>
          <w14:ligatures w14:val="standardContextual"/>
        </w:rPr>
        <w:t>Stefan Mojżeszek</w:t>
      </w:r>
    </w:p>
    <w:p>
      <w:pPr>
        <w:pStyle w:val="Normal"/>
        <w:spacing w:lineRule="auto" w:line="240" w:before="0" w:after="0"/>
        <w:jc w:val="left"/>
        <w:rPr>
          <w:bCs/>
          <w:highlight w:val="yellow"/>
          <w:lang w:eastAsia="pl-PL"/>
        </w:rPr>
      </w:pPr>
      <w:r>
        <w:rPr>
          <w:bCs/>
          <w:highlight w:val="yellow"/>
          <w:lang w:eastAsia="pl-PL"/>
        </w:rPr>
      </w:r>
    </w:p>
    <w:p>
      <w:pPr>
        <w:pStyle w:val="Normal"/>
        <w:spacing w:lineRule="auto" w:line="240" w:before="0" w:after="0"/>
        <w:jc w:val="left"/>
        <w:rPr>
          <w:bCs/>
          <w:highlight w:val="yellow"/>
          <w:lang w:eastAsia="pl-PL"/>
        </w:rPr>
      </w:pPr>
      <w:r>
        <w:rPr>
          <w:bCs/>
          <w:highlight w:val="yellow"/>
          <w:lang w:eastAsia="pl-PL"/>
        </w:rPr>
      </w:r>
    </w:p>
    <w:p>
      <w:pPr>
        <w:pStyle w:val="Normal"/>
        <w:spacing w:lineRule="auto" w:line="240" w:before="0" w:after="0"/>
        <w:jc w:val="left"/>
        <w:rPr>
          <w:bCs/>
          <w:highlight w:val="yellow"/>
          <w:lang w:eastAsia="pl-PL"/>
        </w:rPr>
      </w:pPr>
      <w:r>
        <w:rPr>
          <w:bCs/>
          <w:highlight w:val="yellow"/>
          <w:lang w:eastAsia="pl-PL"/>
        </w:rPr>
      </w:r>
    </w:p>
    <w:p>
      <w:pPr>
        <w:pStyle w:val="Normal"/>
        <w:spacing w:lineRule="auto" w:line="240" w:before="0" w:after="0"/>
        <w:jc w:val="left"/>
        <w:rPr>
          <w:bCs/>
          <w:highlight w:val="yellow"/>
          <w:lang w:eastAsia="pl-PL"/>
        </w:rPr>
      </w:pPr>
      <w:r>
        <w:rPr>
          <w:bCs/>
          <w:highlight w:val="yellow"/>
          <w:lang w:eastAsia="pl-PL"/>
        </w:rPr>
      </w:r>
    </w:p>
    <w:p>
      <w:pPr>
        <w:pStyle w:val="Normal"/>
        <w:spacing w:lineRule="auto" w:line="240" w:before="0" w:after="0"/>
        <w:jc w:val="left"/>
        <w:rPr>
          <w:bCs/>
          <w:highlight w:val="yellow"/>
          <w:lang w:eastAsia="pl-PL"/>
        </w:rPr>
      </w:pPr>
      <w:r>
        <w:rPr>
          <w:bCs/>
          <w:highlight w:val="yellow"/>
          <w:lang w:eastAsia="pl-PL"/>
        </w:rPr>
      </w:r>
    </w:p>
    <w:p>
      <w:pPr>
        <w:pStyle w:val="Normal"/>
        <w:spacing w:lineRule="auto" w:line="240" w:before="0" w:after="0"/>
        <w:jc w:val="left"/>
        <w:rPr>
          <w:bCs/>
          <w:highlight w:val="yellow"/>
          <w:lang w:eastAsia="pl-PL"/>
        </w:rPr>
      </w:pPr>
      <w:r>
        <w:rPr>
          <w:bCs/>
          <w:highlight w:val="yellow"/>
          <w:lang w:eastAsia="pl-PL"/>
        </w:rPr>
      </w:r>
    </w:p>
    <w:p>
      <w:pPr>
        <w:pStyle w:val="Normal"/>
        <w:spacing w:lineRule="auto" w:line="240" w:before="0" w:after="0"/>
        <w:jc w:val="left"/>
        <w:rPr>
          <w:bCs/>
          <w:highlight w:val="yellow"/>
          <w:lang w:eastAsia="pl-PL"/>
        </w:rPr>
      </w:pPr>
      <w:r>
        <w:rPr>
          <w:bCs/>
          <w:highlight w:val="yellow"/>
          <w:lang w:eastAsia="pl-PL"/>
        </w:rPr>
      </w:r>
    </w:p>
    <w:p>
      <w:pPr>
        <w:pStyle w:val="Normal"/>
        <w:spacing w:lineRule="auto" w:line="240" w:before="0" w:after="0"/>
        <w:jc w:val="left"/>
        <w:rPr>
          <w:bCs/>
          <w:highlight w:val="yellow"/>
          <w:lang w:eastAsia="pl-PL"/>
        </w:rPr>
      </w:pPr>
      <w:r>
        <w:rPr>
          <w:bCs/>
          <w:highlight w:val="yellow"/>
          <w:lang w:eastAsia="pl-PL"/>
        </w:rPr>
      </w:r>
    </w:p>
    <w:p>
      <w:pPr>
        <w:pStyle w:val="Normal"/>
        <w:spacing w:lineRule="auto" w:line="240" w:before="0" w:after="0"/>
        <w:jc w:val="left"/>
        <w:rPr>
          <w:bCs/>
          <w:highlight w:val="yellow"/>
          <w:lang w:eastAsia="pl-PL"/>
        </w:rPr>
      </w:pPr>
      <w:r>
        <w:rPr>
          <w:bCs/>
          <w:highlight w:val="yellow"/>
          <w:lang w:eastAsia="pl-PL"/>
        </w:rPr>
      </w:r>
    </w:p>
    <w:p>
      <w:pPr>
        <w:pStyle w:val="Normal"/>
        <w:spacing w:lineRule="auto" w:line="240" w:before="0" w:after="0"/>
        <w:jc w:val="left"/>
        <w:rPr>
          <w:bCs/>
          <w:highlight w:val="yellow"/>
          <w:lang w:eastAsia="pl-PL"/>
        </w:rPr>
      </w:pPr>
      <w:r>
        <w:rPr>
          <w:bCs/>
          <w:highlight w:val="yellow"/>
          <w:lang w:eastAsia="pl-PL"/>
        </w:rPr>
      </w:r>
    </w:p>
    <w:p>
      <w:pPr>
        <w:pStyle w:val="Normal"/>
        <w:spacing w:lineRule="auto" w:line="240" w:before="0" w:after="0"/>
        <w:jc w:val="left"/>
        <w:rPr>
          <w:bCs/>
          <w:highlight w:val="yellow"/>
          <w:lang w:eastAsia="pl-PL"/>
        </w:rPr>
      </w:pPr>
      <w:r>
        <w:rPr>
          <w:bCs/>
          <w:highlight w:val="yellow"/>
          <w:lang w:eastAsia="pl-PL"/>
        </w:rPr>
      </w:r>
    </w:p>
    <w:p>
      <w:pPr>
        <w:pStyle w:val="Normal"/>
        <w:spacing w:lineRule="auto" w:line="240" w:before="0" w:after="0"/>
        <w:jc w:val="left"/>
        <w:rPr>
          <w:bCs/>
          <w:highlight w:val="yellow"/>
          <w:lang w:eastAsia="pl-PL"/>
        </w:rPr>
      </w:pPr>
      <w:r>
        <w:rPr>
          <w:bCs/>
          <w:highlight w:val="yellow"/>
          <w:lang w:eastAsia="pl-PL"/>
        </w:rPr>
      </w:r>
    </w:p>
    <w:p>
      <w:pPr>
        <w:pStyle w:val="Normal"/>
        <w:spacing w:lineRule="auto" w:line="240" w:before="0" w:after="0"/>
        <w:jc w:val="left"/>
        <w:rPr>
          <w:bCs/>
          <w:highlight w:val="yellow"/>
          <w:lang w:eastAsia="pl-PL"/>
        </w:rPr>
      </w:pPr>
      <w:r>
        <w:rPr>
          <w:bCs/>
          <w:highlight w:val="yellow"/>
          <w:lang w:eastAsia="pl-PL"/>
        </w:rPr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134" w:header="0" w:top="936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Arial">
    <w:charset w:val="ee"/>
    <w:family w:val="roman"/>
    <w:pitch w:val="variable"/>
  </w:font>
  <w:font w:name="Lat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0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a0"/>
    </w:tblPr>
    <w:tblGrid>
      <w:gridCol w:w="6185"/>
      <w:gridCol w:w="3421"/>
    </w:tblGrid>
    <w:tr>
      <w:trPr>
        <w:trHeight w:val="804" w:hRule="atLeast"/>
      </w:trPr>
      <w:tc>
        <w:tcPr>
          <w:tcW w:w="6185" w:type="dxa"/>
          <w:tcBorders/>
          <w:shd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</w:r>
        </w:p>
      </w:tc>
      <w:tc>
        <w:tcPr>
          <w:tcW w:w="3421" w:type="dxa"/>
          <w:tcBorders/>
          <w:shd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</w:r>
        </w:p>
      </w:tc>
    </w:tr>
  </w:tbl>
  <w:p>
    <w:pPr>
      <w:pStyle w:val="Stopka"/>
      <w:tabs>
        <w:tab w:val="center" w:pos="4536" w:leader="none"/>
        <w:tab w:val="right" w:pos="9072" w:leader="none"/>
      </w:tabs>
      <w:spacing w:before="20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0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a0"/>
    </w:tblPr>
    <w:tblGrid>
      <w:gridCol w:w="6185"/>
      <w:gridCol w:w="3421"/>
    </w:tblGrid>
    <w:tr>
      <w:trPr>
        <w:trHeight w:val="804" w:hRule="atLeast"/>
      </w:trPr>
      <w:tc>
        <w:tcPr>
          <w:tcW w:w="6185" w:type="dxa"/>
          <w:tcBorders/>
          <w:shd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Państwowe Gospodarstwo Wodne Wody Polskie </w:t>
          </w:r>
        </w:p>
        <w:p>
          <w:pPr>
            <w:pStyle w:val="Normal"/>
            <w:spacing w:lineRule="auto" w:line="264" w:before="0" w:after="0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Katowicach</w:t>
          </w:r>
        </w:p>
        <w:p>
          <w:pPr>
            <w:pStyle w:val="Normal"/>
            <w:spacing w:lineRule="auto" w:line="264" w:before="0" w:after="0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Plac Grunwaldzki 8-10, 40-127 Katowice</w:t>
            <w:tab/>
          </w:r>
        </w:p>
        <w:p>
          <w:pPr>
            <w:pStyle w:val="Normal"/>
            <w:spacing w:lineRule="auto" w:line="264" w:before="0" w:after="0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tel.: 32 250 41 27 wew. 29; e-mail: zz-katowice@wody.gov.pl</w:t>
          </w:r>
        </w:p>
      </w:tc>
      <w:tc>
        <w:tcPr>
          <w:tcW w:w="3421" w:type="dxa"/>
          <w:tcBorders/>
          <w:shd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>
    <w:pPr>
      <w:pStyle w:val="Stopka"/>
      <w:spacing w:before="200" w:after="200"/>
      <w:ind w:right="-2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0"/>
      <w:rPr/>
    </w:pPr>
    <w:r>
      <w:rPr/>
    </w:r>
  </w:p>
  <w:p>
    <w:pPr>
      <w:pStyle w:val="Gwka"/>
      <w:spacing w:before="0" w:after="0"/>
      <w:rPr/>
    </w:pPr>
    <w:r>
      <w:rPr/>
    </w:r>
  </w:p>
  <w:p>
    <w:pPr>
      <w:pStyle w:val="Gwka"/>
      <w:spacing w:before="0" w:after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</w:tabs>
      <w:spacing w:before="200" w:after="20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7" t="-14988" r="-2794" b="-15486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4e47"/>
    <w:pPr>
      <w:widowControl/>
      <w:bidi w:val="0"/>
      <w:spacing w:lineRule="auto" w:line="276" w:before="200" w:after="200"/>
      <w:jc w:val="both"/>
    </w:pPr>
    <w:rPr>
      <w:rFonts w:ascii="Calibri" w:hAnsi="Calibri" w:eastAsia="Times New Roman" w:cs="Times New Roman" w:asciiTheme="minorHAnsi" w:hAnsiTheme="minorHAnsi"/>
      <w:color w:val="00000A"/>
      <w:kern w:val="0"/>
      <w:sz w:val="20"/>
      <w:szCs w:val="20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94e47"/>
    <w:rPr>
      <w:rFonts w:ascii="Calibri" w:hAnsi="Calibri" w:eastAsia="Times New Roman" w:cs="Times New Roman"/>
      <w:kern w:val="0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94e47"/>
    <w:rPr>
      <w:rFonts w:ascii="Calibri" w:hAnsi="Calibri" w:eastAsia="Times New Roman" w:cs="Times New Roman"/>
      <w:kern w:val="0"/>
      <w:sz w:val="20"/>
      <w:szCs w:val="20"/>
      <w:lang w:eastAsia="pl-PL"/>
    </w:rPr>
  </w:style>
  <w:style w:type="character" w:styleId="AkapitzlistZnak" w:customStyle="1">
    <w:name w:val="Akapit z listą Znak"/>
    <w:link w:val="Akapitzlist"/>
    <w:qFormat/>
    <w:locked/>
    <w:rsid w:val="00094e47"/>
    <w:rPr>
      <w:rFonts w:ascii="Calibri" w:hAnsi="Calibri" w:eastAsia="Times New Roman" w:cs="Times New Roman"/>
      <w:kern w:val="0"/>
      <w:sz w:val="20"/>
      <w:szCs w:val="20"/>
      <w:lang w:eastAsia="pl-PL"/>
    </w:rPr>
  </w:style>
  <w:style w:type="character" w:styleId="PlaceholderText">
    <w:name w:val="Placeholder Text"/>
    <w:basedOn w:val="DefaultParagraphFont"/>
    <w:uiPriority w:val="99"/>
    <w:semiHidden/>
    <w:qFormat/>
    <w:rsid w:val="00094e47"/>
    <w:rPr>
      <w:color w:val="808080"/>
    </w:rPr>
  </w:style>
  <w:style w:type="character" w:styleId="Styl1" w:customStyle="1">
    <w:name w:val="Styl1"/>
    <w:basedOn w:val="DefaultParagraphFont"/>
    <w:uiPriority w:val="1"/>
    <w:qFormat/>
    <w:rsid w:val="00094e47"/>
    <w:rPr>
      <w:i/>
    </w:rPr>
  </w:style>
  <w:style w:type="character" w:styleId="Styl3" w:customStyle="1">
    <w:name w:val="Styl3"/>
    <w:basedOn w:val="Czeinternetowe"/>
    <w:uiPriority w:val="1"/>
    <w:qFormat/>
    <w:rsid w:val="00094e47"/>
    <w:rPr>
      <w:rFonts w:cs="Times New Roman"/>
      <w:strike w:val="false"/>
      <w:dstrike w:val="false"/>
      <w:color w:val="0070C0"/>
      <w:u w:val="single"/>
      <w:effect w:val="none"/>
    </w:rPr>
  </w:style>
  <w:style w:type="character" w:styleId="Czeinternetowe">
    <w:name w:val="Łącze internetowe"/>
    <w:basedOn w:val="DefaultParagraphFont"/>
    <w:uiPriority w:val="99"/>
    <w:semiHidden/>
    <w:unhideWhenUsed/>
    <w:rsid w:val="00094e47"/>
    <w:rPr>
      <w:color w:val="0563C1" w:themeColor="hyperlink"/>
      <w:u w:val="single"/>
    </w:rPr>
  </w:style>
  <w:style w:type="character" w:styleId="ListLabel1">
    <w:name w:val="ListLabel 1"/>
    <w:qFormat/>
    <w:rPr>
      <w:i w:val="false"/>
      <w:sz w:val="18"/>
    </w:rPr>
  </w:style>
  <w:style w:type="character" w:styleId="ListLabel2">
    <w:name w:val="ListLabel 2"/>
    <w:qFormat/>
    <w:rPr>
      <w:b w:val="false"/>
      <w:sz w:val="18"/>
    </w:rPr>
  </w:style>
  <w:style w:type="character" w:styleId="ListLabel3">
    <w:name w:val="ListLabel 3"/>
    <w:qFormat/>
    <w:rPr>
      <w:b/>
      <w:i w:val="false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Times New Roman"/>
      <w:sz w:val="20"/>
      <w:szCs w:val="20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Arial Narrow"/>
      <w:color w:val="00000A"/>
      <w:sz w:val="22"/>
      <w:szCs w:val="22"/>
    </w:rPr>
  </w:style>
  <w:style w:type="character" w:styleId="ListLabel20">
    <w:name w:val="ListLabel 20"/>
    <w:qFormat/>
    <w:rPr>
      <w:rFonts w:ascii="Calibri" w:hAnsi="Calibri"/>
      <w:i w:val="false"/>
      <w:sz w:val="18"/>
    </w:rPr>
  </w:style>
  <w:style w:type="character" w:styleId="ListLabel21">
    <w:name w:val="ListLabel 21"/>
    <w:qFormat/>
    <w:rPr>
      <w:rFonts w:ascii="Calibri" w:hAnsi="Calibri"/>
      <w:b w:val="false"/>
      <w:sz w:val="18"/>
    </w:rPr>
  </w:style>
  <w:style w:type="character" w:styleId="ListLabel22">
    <w:name w:val="ListLabel 22"/>
    <w:qFormat/>
    <w:rPr>
      <w:rFonts w:ascii="Calibri" w:hAnsi="Calibri"/>
      <w:b/>
      <w:i w:val="false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rsid w:val="00094e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094e47"/>
    <w:pPr>
      <w:tabs>
        <w:tab w:val="center" w:pos="4536" w:leader="none"/>
        <w:tab w:val="right" w:pos="9072" w:leader="none"/>
      </w:tabs>
    </w:pPr>
    <w:rPr>
      <w:lang w:eastAsia="pl-PL"/>
    </w:rPr>
  </w:style>
  <w:style w:type="paragraph" w:styleId="ListParagraph">
    <w:name w:val="List Paragraph"/>
    <w:basedOn w:val="Normal"/>
    <w:link w:val="AkapitzlistZnak"/>
    <w:qFormat/>
    <w:rsid w:val="00094e47"/>
    <w:pPr>
      <w:spacing w:before="200" w:after="200"/>
      <w:ind w:left="720" w:hanging="0"/>
      <w:contextualSpacing/>
    </w:pPr>
    <w:rPr>
      <w:lang w:eastAsia="pl-PL"/>
    </w:rPr>
  </w:style>
  <w:style w:type="paragraph" w:styleId="Standard" w:customStyle="1">
    <w:name w:val="Standard"/>
    <w:qFormat/>
    <w:rsid w:val="00094e47"/>
    <w:pPr>
      <w:widowControl/>
      <w:suppressAutoHyphens w:val="true"/>
      <w:bidi w:val="0"/>
      <w:spacing w:lineRule="auto" w:line="240" w:before="0" w:after="0"/>
      <w:jc w:val="left"/>
    </w:pPr>
    <w:rPr>
      <w:rFonts w:ascii="Carlito" w:hAnsi="Carlito" w:eastAsia="Times New Roman" w:cs="Times New Roman"/>
      <w:color w:val="00000A"/>
      <w:kern w:val="2"/>
      <w:sz w:val="24"/>
      <w:szCs w:val="24"/>
      <w:lang w:val="pl-PL" w:eastAsia="zh-CN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5A507244E3487992862B4B144405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6D6F4-E59E-4C3B-B6F5-860BAC374B61}"/>
      </w:docPartPr>
      <w:docPartBody>
        <w:p w:rsidR="00A707D4" w:rsidRDefault="00A367C9" w:rsidP="00A367C9">
          <w:pPr>
            <w:pStyle w:val="D15A507244E3487992862B4B14440502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74E9C1DC4574B5B98E615108795A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5F813C-8CA2-4629-AD1B-A379D91DB719}"/>
      </w:docPartPr>
      <w:docPartBody>
        <w:p w:rsidR="00A707D4" w:rsidRDefault="00A367C9" w:rsidP="00A367C9">
          <w:pPr>
            <w:pStyle w:val="774E9C1DC4574B5B98E615108795A935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9F49A8C55E848319DF88BF858AD0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557170-A726-4F85-844E-F11D5FEA9A16}"/>
      </w:docPartPr>
      <w:docPartBody>
        <w:p w:rsidR="00A707D4" w:rsidRDefault="00A367C9" w:rsidP="00A367C9">
          <w:pPr>
            <w:pStyle w:val="79F49A8C55E848319DF88BF858AD0AA9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0A2AB439433C41BCA462BAD8AEDCBA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D9123-22BB-457F-84C1-BFE0CC27D800}"/>
      </w:docPartPr>
      <w:docPartBody>
        <w:p w:rsidR="00A707D4" w:rsidRDefault="00A367C9" w:rsidP="00A367C9">
          <w:pPr>
            <w:pStyle w:val="0A2AB439433C41BCA462BAD8AEDCBAAF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B35000A4FDA74516839700CA858210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E4F7AE-F854-4837-96DD-882EEAD69647}"/>
      </w:docPartPr>
      <w:docPartBody>
        <w:p w:rsidR="00A707D4" w:rsidRDefault="00A367C9" w:rsidP="00A367C9">
          <w:pPr>
            <w:pStyle w:val="B35000A4FDA74516839700CA858210C1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467AEB813A714CAEAE96CED999392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49522-38C3-423F-93AF-CFA1E2C0B2A9}"/>
      </w:docPartPr>
      <w:docPartBody>
        <w:p w:rsidR="00A707D4" w:rsidRDefault="00A367C9" w:rsidP="00A367C9">
          <w:pPr>
            <w:pStyle w:val="467AEB813A714CAEAE96CED99939247C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CCCE5685B8DB47678DE58752AEBDF7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771B5-7851-4E10-9715-ADE661DACB28}"/>
      </w:docPartPr>
      <w:docPartBody>
        <w:p w:rsidR="00A707D4" w:rsidRDefault="00A367C9" w:rsidP="00A367C9">
          <w:pPr>
            <w:pStyle w:val="CCCE5685B8DB47678DE58752AEBDF71E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9F34BF7A3CA8476ABF1275226E80CE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02EAA-3A2E-4DA7-B61B-DAAC692DB67B}"/>
      </w:docPartPr>
      <w:docPartBody>
        <w:p w:rsidR="00A707D4" w:rsidRDefault="00A367C9" w:rsidP="00A367C9">
          <w:pPr>
            <w:pStyle w:val="9F34BF7A3CA8476ABF1275226E80CE12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C9"/>
    <w:rsid w:val="00A367C9"/>
    <w:rsid w:val="00A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67C9"/>
    <w:rPr>
      <w:color w:val="808080"/>
    </w:rPr>
  </w:style>
  <w:style w:type="paragraph" w:customStyle="1" w:styleId="D15A507244E3487992862B4B14440502">
    <w:name w:val="D15A507244E3487992862B4B14440502"/>
    <w:rsid w:val="00A367C9"/>
  </w:style>
  <w:style w:type="paragraph" w:customStyle="1" w:styleId="774E9C1DC4574B5B98E615108795A935">
    <w:name w:val="774E9C1DC4574B5B98E615108795A935"/>
    <w:rsid w:val="00A367C9"/>
  </w:style>
  <w:style w:type="paragraph" w:customStyle="1" w:styleId="79F49A8C55E848319DF88BF858AD0AA9">
    <w:name w:val="79F49A8C55E848319DF88BF858AD0AA9"/>
    <w:rsid w:val="00A367C9"/>
  </w:style>
  <w:style w:type="paragraph" w:customStyle="1" w:styleId="0A2AB439433C41BCA462BAD8AEDCBAAF">
    <w:name w:val="0A2AB439433C41BCA462BAD8AEDCBAAF"/>
    <w:rsid w:val="00A367C9"/>
  </w:style>
  <w:style w:type="paragraph" w:customStyle="1" w:styleId="B35000A4FDA74516839700CA858210C1">
    <w:name w:val="B35000A4FDA74516839700CA858210C1"/>
    <w:rsid w:val="00A367C9"/>
  </w:style>
  <w:style w:type="paragraph" w:customStyle="1" w:styleId="467AEB813A714CAEAE96CED99939247C">
    <w:name w:val="467AEB813A714CAEAE96CED99939247C"/>
    <w:rsid w:val="00A367C9"/>
  </w:style>
  <w:style w:type="paragraph" w:customStyle="1" w:styleId="CCCE5685B8DB47678DE58752AEBDF71E">
    <w:name w:val="CCCE5685B8DB47678DE58752AEBDF71E"/>
    <w:rsid w:val="00A367C9"/>
  </w:style>
  <w:style w:type="paragraph" w:customStyle="1" w:styleId="9F34BF7A3CA8476ABF1275226E80CE12">
    <w:name w:val="9F34BF7A3CA8476ABF1275226E80CE12"/>
    <w:rsid w:val="00A36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LibreOffice/5.4.2.2$Windows_x86 LibreOffice_project/22b09f6418e8c2d508a9eaf86b2399209b0990f4</Application>
  <Pages>1</Pages>
  <Words>315</Words>
  <Characters>1837</Characters>
  <CharactersWithSpaces>2154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2023-06-13T09:53:00Z</dcterms:created>
  <dc:creator>Agnieszka Wolak(RZGW Gliwice)</dc:creator>
  <dc:description/>
  <dc:language>pl-PL</dc:language>
  <cp:lastModifiedBy/>
  <cp:lastPrinted>2023-06-13T09:53:00Z</cp:lastPrinted>
  <dcterms:modified xsi:type="dcterms:W3CDTF">2024-01-18T09:36:58Z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